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A36E2" w14:textId="77777777" w:rsidR="00D9295A" w:rsidRDefault="00D9295A" w:rsidP="00D9295A">
      <w:pPr>
        <w:pStyle w:val="LGAItemNoHeading"/>
        <w:spacing w:before="0" w:after="0"/>
        <w:rPr>
          <w:rFonts w:ascii="Arial" w:hAnsi="Arial" w:cs="Arial"/>
          <w:sz w:val="28"/>
          <w:szCs w:val="28"/>
        </w:rPr>
      </w:pPr>
    </w:p>
    <w:p w14:paraId="7E3A36E3" w14:textId="77777777" w:rsidR="00D9295A" w:rsidRDefault="00D9295A" w:rsidP="00D9295A">
      <w:pPr>
        <w:pStyle w:val="LGAItemNoHeading"/>
        <w:spacing w:before="0" w:after="0"/>
        <w:rPr>
          <w:rFonts w:ascii="Arial" w:hAnsi="Arial" w:cs="Arial"/>
          <w:sz w:val="28"/>
          <w:szCs w:val="28"/>
        </w:rPr>
      </w:pPr>
      <w:r w:rsidRPr="00BE5737">
        <w:rPr>
          <w:rFonts w:ascii="Arial" w:hAnsi="Arial" w:cs="Arial"/>
          <w:sz w:val="28"/>
          <w:szCs w:val="28"/>
        </w:rPr>
        <w:t xml:space="preserve">Culture, </w:t>
      </w:r>
      <w:r>
        <w:rPr>
          <w:rFonts w:ascii="Arial" w:hAnsi="Arial" w:cs="Arial"/>
          <w:sz w:val="28"/>
          <w:szCs w:val="28"/>
        </w:rPr>
        <w:t xml:space="preserve">Tourism and Sport Board – </w:t>
      </w:r>
      <w:r w:rsidRPr="00BE5737">
        <w:rPr>
          <w:rFonts w:ascii="Arial" w:hAnsi="Arial" w:cs="Arial"/>
          <w:sz w:val="28"/>
          <w:szCs w:val="28"/>
        </w:rPr>
        <w:t>from Cllr Gerald Vernon-Jackson CBE (Chair)</w:t>
      </w:r>
    </w:p>
    <w:p w14:paraId="7E3A36E4" w14:textId="77777777" w:rsidR="00FB228B" w:rsidRDefault="00FB228B"/>
    <w:p w14:paraId="7E3A36E5" w14:textId="77777777" w:rsidR="00D9295A" w:rsidRPr="00D9295A" w:rsidRDefault="00D9295A" w:rsidP="00D9295A">
      <w:pPr>
        <w:rPr>
          <w:rFonts w:ascii="Arial" w:hAnsi="Arial" w:cs="Arial"/>
          <w:b/>
        </w:rPr>
      </w:pPr>
      <w:r w:rsidRPr="00D9295A">
        <w:rPr>
          <w:rFonts w:ascii="Arial" w:hAnsi="Arial" w:cs="Arial"/>
          <w:b/>
        </w:rPr>
        <w:t>J</w:t>
      </w:r>
      <w:r>
        <w:rPr>
          <w:rFonts w:ascii="Arial" w:hAnsi="Arial" w:cs="Arial"/>
          <w:b/>
        </w:rPr>
        <w:t>oint Conference with the FA</w:t>
      </w:r>
    </w:p>
    <w:p w14:paraId="7E3A36E6" w14:textId="77777777" w:rsidR="00D9295A" w:rsidRDefault="00D9295A" w:rsidP="00D9295A">
      <w:pPr>
        <w:pStyle w:val="ListParagraph"/>
        <w:numPr>
          <w:ilvl w:val="0"/>
          <w:numId w:val="2"/>
        </w:numPr>
        <w:ind w:left="284" w:hanging="284"/>
        <w:rPr>
          <w:rFonts w:ascii="Arial" w:hAnsi="Arial" w:cs="Arial"/>
        </w:rPr>
      </w:pPr>
      <w:r w:rsidRPr="00D9295A">
        <w:rPr>
          <w:rFonts w:ascii="Arial" w:hAnsi="Arial" w:cs="Arial"/>
        </w:rPr>
        <w:t>The 18th September saw our first joint conference with the FA take place at Wembley Stadium, largely focused on how local authorities can help to provide and maintain football facilities. A presentation from Chief Exec of the FA Martin Glenn, as well as information on the national football facilities strategy, aimed at delivering increased investment into the grassroots game. Workgroups were also held on issues such as the maintenance of grass pitches in public places. We are looking forward to further strengthening of the link between the FA and LGA, and local authorities and football associations working together effectively going forwards.</w:t>
      </w:r>
    </w:p>
    <w:p w14:paraId="7E3A36E7" w14:textId="77777777" w:rsidR="00D9295A" w:rsidRPr="00D9295A" w:rsidRDefault="00D9295A" w:rsidP="00D9295A">
      <w:pPr>
        <w:rPr>
          <w:rFonts w:ascii="Arial" w:hAnsi="Arial" w:cs="Arial"/>
          <w:b/>
        </w:rPr>
      </w:pPr>
      <w:r>
        <w:rPr>
          <w:rFonts w:ascii="Arial" w:hAnsi="Arial" w:cs="Arial"/>
          <w:b/>
        </w:rPr>
        <w:t>Sport England Contracts</w:t>
      </w:r>
    </w:p>
    <w:p w14:paraId="7E3A36E8" w14:textId="77777777" w:rsidR="00D9295A" w:rsidRDefault="00D9295A" w:rsidP="00D9295A">
      <w:pPr>
        <w:pStyle w:val="ListParagraph"/>
        <w:numPr>
          <w:ilvl w:val="0"/>
          <w:numId w:val="2"/>
        </w:numPr>
        <w:ind w:left="284" w:hanging="284"/>
        <w:rPr>
          <w:rFonts w:ascii="Arial" w:hAnsi="Arial" w:cs="Arial"/>
        </w:rPr>
      </w:pPr>
      <w:r w:rsidRPr="00D9295A">
        <w:rPr>
          <w:rFonts w:ascii="Arial" w:hAnsi="Arial" w:cs="Arial"/>
        </w:rPr>
        <w:t>In 2018/19, we have arranged increased contracts with Sport England, a two-year agreement worth £271, 728. . This will deliver: Five leadership essentials events for councillors (average 2/3 per year); Six leadership events for senior strategic officers (average 3 per year);Four regional events for councillors and/or senior strategic officers (average 2 per year);Four masterclasses for senior strategic officers over the two years. 2 of these events have already taken place and we have received very positive feedback.</w:t>
      </w:r>
    </w:p>
    <w:p w14:paraId="7E3A36E9" w14:textId="77777777" w:rsidR="00D9295A" w:rsidRPr="00D9295A" w:rsidRDefault="00D9295A" w:rsidP="00D9295A">
      <w:pPr>
        <w:rPr>
          <w:rFonts w:ascii="Arial" w:hAnsi="Arial" w:cs="Arial"/>
          <w:b/>
        </w:rPr>
      </w:pPr>
      <w:r w:rsidRPr="00D9295A">
        <w:rPr>
          <w:rFonts w:ascii="Arial" w:hAnsi="Arial" w:cs="Arial"/>
          <w:b/>
        </w:rPr>
        <w:t>Arts Council England Contracts</w:t>
      </w:r>
    </w:p>
    <w:p w14:paraId="7E3A36EA" w14:textId="77777777" w:rsidR="00D9295A" w:rsidRPr="00D9295A" w:rsidRDefault="00D9295A" w:rsidP="00D9295A">
      <w:pPr>
        <w:pStyle w:val="ListParagraph"/>
        <w:numPr>
          <w:ilvl w:val="0"/>
          <w:numId w:val="2"/>
        </w:numPr>
        <w:ind w:left="284" w:hanging="284"/>
        <w:rPr>
          <w:rFonts w:ascii="Arial" w:hAnsi="Arial" w:cs="Arial"/>
        </w:rPr>
      </w:pPr>
      <w:r w:rsidRPr="00D9295A">
        <w:rPr>
          <w:rFonts w:ascii="Arial" w:hAnsi="Arial" w:cs="Arial"/>
        </w:rPr>
        <w:t>Additionally, we have ongoing discussions with Arts Council England, but to date they have confirmed their intention to commission us to deliver: Two leadership essentials events for portfolio holders; Three cultural peer challenges; Ten library peer challenges and a councillor handbook on museums services. The value of this activity is £149, 860</w:t>
      </w:r>
      <w:r>
        <w:rPr>
          <w:rFonts w:ascii="Arial" w:hAnsi="Arial" w:cs="Arial"/>
        </w:rPr>
        <w:t>.</w:t>
      </w:r>
    </w:p>
    <w:p w14:paraId="7E3A36EB" w14:textId="77777777" w:rsidR="00D9295A" w:rsidRPr="00D9295A" w:rsidRDefault="00D9295A" w:rsidP="00D9295A">
      <w:pPr>
        <w:rPr>
          <w:rFonts w:ascii="Arial" w:hAnsi="Arial" w:cs="Arial"/>
          <w:b/>
        </w:rPr>
      </w:pPr>
      <w:r w:rsidRPr="00D9295A">
        <w:rPr>
          <w:rFonts w:ascii="Arial" w:hAnsi="Arial" w:cs="Arial"/>
          <w:b/>
        </w:rPr>
        <w:t xml:space="preserve">Tourism Skills Research </w:t>
      </w:r>
    </w:p>
    <w:p w14:paraId="7E3A36EC" w14:textId="77777777" w:rsidR="00D9295A" w:rsidRDefault="00D9295A" w:rsidP="00D9295A">
      <w:pPr>
        <w:pStyle w:val="ListParagraph"/>
        <w:numPr>
          <w:ilvl w:val="0"/>
          <w:numId w:val="2"/>
        </w:numPr>
        <w:tabs>
          <w:tab w:val="left" w:pos="567"/>
        </w:tabs>
        <w:ind w:left="284" w:hanging="284"/>
        <w:rPr>
          <w:rFonts w:ascii="Arial" w:hAnsi="Arial" w:cs="Arial"/>
        </w:rPr>
      </w:pPr>
      <w:r w:rsidRPr="00D9295A">
        <w:rPr>
          <w:rFonts w:ascii="Arial" w:hAnsi="Arial" w:cs="Arial"/>
        </w:rPr>
        <w:t>We have commissioned research into tourism skills, focusing on 8 council areas with a strong tourism sector. Ultimately Rubicon Regeneration won the contract and we have suggested that a presentation on progress with the project is delivered to the CTS Board on 26 November. The final report is due at the end of March 2019.</w:t>
      </w:r>
    </w:p>
    <w:p w14:paraId="7E3A36ED" w14:textId="77777777" w:rsidR="00D9295A" w:rsidRPr="00D9295A" w:rsidRDefault="00D9295A" w:rsidP="00D9295A">
      <w:pPr>
        <w:tabs>
          <w:tab w:val="left" w:pos="567"/>
        </w:tabs>
        <w:rPr>
          <w:rFonts w:ascii="Arial" w:hAnsi="Arial" w:cs="Arial"/>
          <w:b/>
        </w:rPr>
      </w:pPr>
      <w:r w:rsidRPr="00D9295A">
        <w:rPr>
          <w:rFonts w:ascii="Arial" w:hAnsi="Arial" w:cs="Arial"/>
          <w:b/>
        </w:rPr>
        <w:t xml:space="preserve">Libraries Week </w:t>
      </w:r>
    </w:p>
    <w:p w14:paraId="7E3A36EE" w14:textId="77777777" w:rsidR="00D9295A" w:rsidRDefault="00D9295A" w:rsidP="00D9295A">
      <w:pPr>
        <w:pStyle w:val="ListParagraph"/>
        <w:numPr>
          <w:ilvl w:val="0"/>
          <w:numId w:val="2"/>
        </w:numPr>
        <w:tabs>
          <w:tab w:val="left" w:pos="142"/>
        </w:tabs>
        <w:ind w:left="284" w:hanging="284"/>
        <w:rPr>
          <w:rFonts w:ascii="Arial" w:hAnsi="Arial" w:cs="Arial"/>
        </w:rPr>
      </w:pPr>
      <w:r w:rsidRPr="00D9295A">
        <w:rPr>
          <w:rFonts w:ascii="Arial" w:hAnsi="Arial" w:cs="Arial"/>
        </w:rPr>
        <w:t>We are releasing a press release will be issued for Libraries Week which takes place from the 8th- 13th October. The focus on the press release will be how libraries are helping to support health and wellbeing of residents in our communities. An article has also been submitted to the Arts Professional magazine which will be published for Libraries Week. The comment piece focuses on how councils are using culture to preserve access to the arts, and the increasing important part of Libraries in the national landscape.</w:t>
      </w:r>
    </w:p>
    <w:p w14:paraId="7E3A36EF" w14:textId="77777777" w:rsidR="00D9295A" w:rsidRDefault="00D9295A" w:rsidP="00D9295A">
      <w:pPr>
        <w:tabs>
          <w:tab w:val="left" w:pos="567"/>
        </w:tabs>
        <w:ind w:left="66"/>
        <w:rPr>
          <w:rFonts w:ascii="Arial" w:hAnsi="Arial" w:cs="Arial"/>
          <w:b/>
        </w:rPr>
      </w:pPr>
      <w:r w:rsidRPr="00D9295A">
        <w:rPr>
          <w:rFonts w:ascii="Arial" w:hAnsi="Arial" w:cs="Arial"/>
          <w:b/>
        </w:rPr>
        <w:t xml:space="preserve">Parks Action Group </w:t>
      </w:r>
    </w:p>
    <w:p w14:paraId="7E3A36F0" w14:textId="77777777" w:rsidR="00D9295A" w:rsidRPr="00D9295A" w:rsidRDefault="00D9295A" w:rsidP="00D9295A">
      <w:pPr>
        <w:pStyle w:val="ListParagraph"/>
        <w:numPr>
          <w:ilvl w:val="0"/>
          <w:numId w:val="2"/>
        </w:numPr>
        <w:tabs>
          <w:tab w:val="left" w:pos="142"/>
        </w:tabs>
        <w:ind w:left="284" w:hanging="284"/>
        <w:rPr>
          <w:rFonts w:ascii="Arial" w:hAnsi="Arial" w:cs="Arial"/>
          <w:b/>
        </w:rPr>
      </w:pPr>
      <w:r w:rsidRPr="00D9295A">
        <w:rPr>
          <w:rFonts w:ascii="Arial" w:hAnsi="Arial" w:cs="Arial"/>
        </w:rPr>
        <w:t xml:space="preserve">In October, we will be releasing press statements relating to the Parks Action Group. We are also planning a separate article for the First magazine which will focus on how </w:t>
      </w:r>
      <w:r w:rsidRPr="00D9295A">
        <w:rPr>
          <w:rFonts w:ascii="Arial" w:hAnsi="Arial" w:cs="Arial"/>
        </w:rPr>
        <w:lastRenderedPageBreak/>
        <w:t>councils are using Parks to achieve key outcomes such as wellbeing and health, loneliness, skills and tourism.</w:t>
      </w:r>
    </w:p>
    <w:p w14:paraId="7E3A36F1" w14:textId="77777777" w:rsidR="00D9295A" w:rsidRDefault="00D9295A" w:rsidP="00D9295A">
      <w:pPr>
        <w:pStyle w:val="ListParagraph"/>
        <w:ind w:left="284"/>
        <w:rPr>
          <w:rFonts w:ascii="Arial" w:hAnsi="Arial" w:cs="Arial"/>
        </w:rPr>
      </w:pPr>
    </w:p>
    <w:p w14:paraId="7E3A36F2" w14:textId="77777777" w:rsidR="00D9295A" w:rsidRDefault="00D9295A" w:rsidP="00D9295A">
      <w:pPr>
        <w:rPr>
          <w:rFonts w:ascii="Arial" w:hAnsi="Arial" w:cs="Arial"/>
          <w:b/>
        </w:rPr>
      </w:pPr>
      <w:r w:rsidRPr="00D9295A">
        <w:rPr>
          <w:rFonts w:ascii="Arial" w:hAnsi="Arial" w:cs="Arial"/>
          <w:b/>
        </w:rPr>
        <w:t>Seaside Regeneration</w:t>
      </w:r>
    </w:p>
    <w:p w14:paraId="7E3A36F3" w14:textId="77777777" w:rsidR="00D9295A" w:rsidRPr="00D9295A" w:rsidRDefault="00D9295A" w:rsidP="00D9295A">
      <w:pPr>
        <w:pStyle w:val="ListParagraph"/>
        <w:numPr>
          <w:ilvl w:val="0"/>
          <w:numId w:val="2"/>
        </w:numPr>
        <w:ind w:left="284" w:hanging="284"/>
        <w:rPr>
          <w:rFonts w:ascii="Arial" w:hAnsi="Arial" w:cs="Arial"/>
        </w:rPr>
      </w:pPr>
      <w:r w:rsidRPr="00D9295A">
        <w:rPr>
          <w:rFonts w:ascii="Arial" w:hAnsi="Arial" w:cs="Arial"/>
        </w:rPr>
        <w:t>We have submitted a response to the House of Lords select committee on regenerating seaside towns and communities. Utilising information from the LGA’s conducted research into how councils can lead, promote, or support culture-led regeneration, we were able to share key findings and selected case studies with the committee.</w:t>
      </w:r>
    </w:p>
    <w:p w14:paraId="7E3A36F4" w14:textId="77777777" w:rsidR="00D9295A" w:rsidRPr="00D9295A" w:rsidRDefault="00D9295A" w:rsidP="00D9295A">
      <w:pPr>
        <w:tabs>
          <w:tab w:val="left" w:pos="567"/>
        </w:tabs>
        <w:rPr>
          <w:rFonts w:ascii="Arial" w:hAnsi="Arial" w:cs="Arial"/>
        </w:rPr>
      </w:pPr>
    </w:p>
    <w:tbl>
      <w:tblPr>
        <w:tblpPr w:leftFromText="180" w:rightFromText="180" w:vertAnchor="text" w:horzAnchor="margin" w:tblpY="-46"/>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6232EF" w:rsidRPr="00C723BD" w14:paraId="7E3A36FD" w14:textId="77777777" w:rsidTr="006232EF">
        <w:trPr>
          <w:trHeight w:val="1012"/>
        </w:trPr>
        <w:tc>
          <w:tcPr>
            <w:tcW w:w="3174" w:type="dxa"/>
          </w:tcPr>
          <w:p w14:paraId="7E3A36F5" w14:textId="77777777" w:rsidR="006232EF" w:rsidRPr="00C723BD" w:rsidRDefault="006232EF" w:rsidP="006232EF">
            <w:pPr>
              <w:autoSpaceDE w:val="0"/>
              <w:autoSpaceDN w:val="0"/>
              <w:adjustRightInd w:val="0"/>
              <w:spacing w:after="0" w:line="240" w:lineRule="auto"/>
              <w:rPr>
                <w:rFonts w:ascii="Arial" w:hAnsi="Arial" w:cs="Arial"/>
                <w:b/>
                <w:bCs/>
                <w:color w:val="000000"/>
              </w:rPr>
            </w:pPr>
          </w:p>
          <w:p w14:paraId="7E3A36F6" w14:textId="77777777" w:rsidR="006232EF" w:rsidRDefault="006232EF" w:rsidP="006232EF">
            <w:pPr>
              <w:autoSpaceDE w:val="0"/>
              <w:autoSpaceDN w:val="0"/>
              <w:adjustRightInd w:val="0"/>
              <w:spacing w:after="0" w:line="240" w:lineRule="auto"/>
              <w:rPr>
                <w:rFonts w:ascii="Arial" w:hAnsi="Arial" w:cs="Arial"/>
                <w:b/>
                <w:bCs/>
                <w:color w:val="000000"/>
              </w:rPr>
            </w:pPr>
          </w:p>
          <w:p w14:paraId="7E3A36F7" w14:textId="77777777" w:rsidR="006232EF" w:rsidRDefault="006232EF" w:rsidP="006232EF">
            <w:pPr>
              <w:autoSpaceDE w:val="0"/>
              <w:autoSpaceDN w:val="0"/>
              <w:adjustRightInd w:val="0"/>
              <w:spacing w:after="0" w:line="240" w:lineRule="auto"/>
              <w:rPr>
                <w:rFonts w:ascii="Arial" w:hAnsi="Arial" w:cs="Arial"/>
                <w:b/>
                <w:bCs/>
                <w:color w:val="000000"/>
              </w:rPr>
            </w:pPr>
          </w:p>
          <w:p w14:paraId="7E3A36F8" w14:textId="77777777" w:rsidR="006232EF" w:rsidRPr="00C723BD" w:rsidRDefault="006232EF" w:rsidP="006232EF">
            <w:pPr>
              <w:autoSpaceDE w:val="0"/>
              <w:autoSpaceDN w:val="0"/>
              <w:adjustRightInd w:val="0"/>
              <w:spacing w:after="0" w:line="240" w:lineRule="auto"/>
              <w:rPr>
                <w:rFonts w:ascii="Arial" w:hAnsi="Arial" w:cs="Arial"/>
                <w:color w:val="000000"/>
              </w:rPr>
            </w:pPr>
            <w:r w:rsidRPr="00C723BD">
              <w:rPr>
                <w:rFonts w:ascii="Arial" w:hAnsi="Arial" w:cs="Arial"/>
                <w:b/>
                <w:bCs/>
                <w:color w:val="000000"/>
              </w:rPr>
              <w:t xml:space="preserve">Contact officer: </w:t>
            </w:r>
          </w:p>
        </w:tc>
        <w:tc>
          <w:tcPr>
            <w:tcW w:w="4193" w:type="dxa"/>
          </w:tcPr>
          <w:p w14:paraId="7E3A36F9" w14:textId="77777777" w:rsidR="006232EF" w:rsidRPr="00C723BD" w:rsidRDefault="006232EF" w:rsidP="006232EF">
            <w:pPr>
              <w:autoSpaceDE w:val="0"/>
              <w:autoSpaceDN w:val="0"/>
              <w:adjustRightInd w:val="0"/>
              <w:spacing w:after="0" w:line="240" w:lineRule="auto"/>
              <w:rPr>
                <w:rFonts w:ascii="Arial" w:hAnsi="Arial" w:cs="Arial"/>
                <w:color w:val="000000"/>
              </w:rPr>
            </w:pPr>
          </w:p>
          <w:p w14:paraId="7E3A36FA" w14:textId="77777777" w:rsidR="006232EF" w:rsidRDefault="006232EF" w:rsidP="006232EF">
            <w:pPr>
              <w:autoSpaceDE w:val="0"/>
              <w:autoSpaceDN w:val="0"/>
              <w:adjustRightInd w:val="0"/>
              <w:spacing w:after="0" w:line="240" w:lineRule="auto"/>
              <w:rPr>
                <w:rFonts w:ascii="Arial" w:hAnsi="Arial" w:cs="Arial"/>
                <w:color w:val="000000"/>
              </w:rPr>
            </w:pPr>
          </w:p>
          <w:p w14:paraId="7E3A36FB" w14:textId="77777777" w:rsidR="006232EF" w:rsidRDefault="006232EF" w:rsidP="006232EF">
            <w:pPr>
              <w:autoSpaceDE w:val="0"/>
              <w:autoSpaceDN w:val="0"/>
              <w:adjustRightInd w:val="0"/>
              <w:spacing w:after="0" w:line="240" w:lineRule="auto"/>
              <w:rPr>
                <w:rFonts w:ascii="Arial" w:hAnsi="Arial" w:cs="Arial"/>
                <w:color w:val="000000"/>
              </w:rPr>
            </w:pPr>
          </w:p>
          <w:p w14:paraId="7E3A36FC" w14:textId="77777777" w:rsidR="006232EF" w:rsidRPr="00C723BD" w:rsidRDefault="00603E49" w:rsidP="006232EF">
            <w:pPr>
              <w:autoSpaceDE w:val="0"/>
              <w:autoSpaceDN w:val="0"/>
              <w:adjustRightInd w:val="0"/>
              <w:spacing w:after="0" w:line="240" w:lineRule="auto"/>
              <w:rPr>
                <w:rFonts w:ascii="Arial" w:hAnsi="Arial" w:cs="Arial"/>
                <w:color w:val="000000"/>
              </w:rPr>
            </w:pPr>
            <w:r w:rsidRPr="00C516EF">
              <w:rPr>
                <w:rFonts w:ascii="Arial" w:hAnsi="Arial" w:cs="Arial"/>
              </w:rPr>
              <w:t>Rebecca Cox</w:t>
            </w:r>
          </w:p>
        </w:tc>
      </w:tr>
      <w:tr w:rsidR="006232EF" w:rsidRPr="00C723BD" w14:paraId="7E3A3700" w14:textId="77777777" w:rsidTr="006232EF">
        <w:trPr>
          <w:trHeight w:val="131"/>
        </w:trPr>
        <w:tc>
          <w:tcPr>
            <w:tcW w:w="3174" w:type="dxa"/>
          </w:tcPr>
          <w:p w14:paraId="7E3A36FE" w14:textId="77777777" w:rsidR="006232EF" w:rsidRPr="00075F56" w:rsidRDefault="006232EF" w:rsidP="006232EF">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7E3A36FF" w14:textId="77777777" w:rsidR="006232EF" w:rsidRPr="00C723BD" w:rsidRDefault="006232EF" w:rsidP="006232EF">
            <w:pPr>
              <w:autoSpaceDE w:val="0"/>
              <w:autoSpaceDN w:val="0"/>
              <w:adjustRightInd w:val="0"/>
              <w:spacing w:before="120" w:after="0" w:line="240" w:lineRule="auto"/>
              <w:rPr>
                <w:rFonts w:ascii="Arial" w:hAnsi="Arial" w:cs="Arial"/>
                <w:color w:val="000000"/>
              </w:rPr>
            </w:pPr>
            <w:r>
              <w:rPr>
                <w:rFonts w:ascii="Arial" w:hAnsi="Arial" w:cs="Arial"/>
                <w:color w:val="000000"/>
              </w:rPr>
              <w:t>Principle Policy Adviser</w:t>
            </w:r>
          </w:p>
        </w:tc>
      </w:tr>
      <w:tr w:rsidR="006232EF" w:rsidRPr="00C723BD" w14:paraId="7E3A3703" w14:textId="77777777" w:rsidTr="006232EF">
        <w:trPr>
          <w:trHeight w:val="131"/>
        </w:trPr>
        <w:tc>
          <w:tcPr>
            <w:tcW w:w="3174" w:type="dxa"/>
          </w:tcPr>
          <w:p w14:paraId="7E3A3701" w14:textId="77777777" w:rsidR="006232EF" w:rsidRPr="00C723BD" w:rsidRDefault="006232EF" w:rsidP="006232EF">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7E3A3702" w14:textId="77777777" w:rsidR="006232EF" w:rsidRPr="00C723BD" w:rsidRDefault="006232EF" w:rsidP="006232EF">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Pr>
                <w:rFonts w:ascii="Arial" w:hAnsi="Arial" w:cs="Arial"/>
                <w:color w:val="000000"/>
              </w:rPr>
              <w:t>664 3241</w:t>
            </w:r>
          </w:p>
        </w:tc>
      </w:tr>
      <w:tr w:rsidR="006232EF" w:rsidRPr="00C723BD" w14:paraId="7E3A3706" w14:textId="77777777" w:rsidTr="00603E49">
        <w:trPr>
          <w:trHeight w:val="509"/>
        </w:trPr>
        <w:tc>
          <w:tcPr>
            <w:tcW w:w="3174" w:type="dxa"/>
          </w:tcPr>
          <w:p w14:paraId="7E3A3704" w14:textId="77777777" w:rsidR="006232EF" w:rsidRPr="00C723BD" w:rsidRDefault="006232EF" w:rsidP="006232EF">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7E3A3705" w14:textId="77777777" w:rsidR="00603E49" w:rsidRPr="00603E49" w:rsidRDefault="009E4E33" w:rsidP="006232EF">
            <w:pPr>
              <w:autoSpaceDE w:val="0"/>
              <w:autoSpaceDN w:val="0"/>
              <w:adjustRightInd w:val="0"/>
              <w:spacing w:before="120" w:after="0" w:line="240" w:lineRule="auto"/>
              <w:rPr>
                <w:rFonts w:ascii="Arial" w:hAnsi="Arial" w:cs="Arial"/>
                <w:iCs/>
              </w:rPr>
            </w:pPr>
            <w:hyperlink r:id="rId7" w:history="1">
              <w:r w:rsidR="00603E49" w:rsidRPr="007E3FDF">
                <w:rPr>
                  <w:rStyle w:val="Hyperlink"/>
                  <w:rFonts w:ascii="Arial" w:hAnsi="Arial" w:cs="Arial"/>
                  <w:iCs/>
                </w:rPr>
                <w:t>Rebecca.Cox@local.gov.uk</w:t>
              </w:r>
            </w:hyperlink>
          </w:p>
        </w:tc>
      </w:tr>
    </w:tbl>
    <w:p w14:paraId="7E3A3707" w14:textId="77777777" w:rsidR="00D9295A" w:rsidRDefault="00D9295A" w:rsidP="00D9295A">
      <w:pPr>
        <w:pStyle w:val="ListParagraph"/>
        <w:ind w:left="284"/>
        <w:rPr>
          <w:rFonts w:ascii="Arial" w:hAnsi="Arial" w:cs="Arial"/>
        </w:rPr>
      </w:pPr>
    </w:p>
    <w:p w14:paraId="7E3A3708" w14:textId="77777777" w:rsidR="00D9295A" w:rsidRPr="00D9295A" w:rsidRDefault="00D9295A" w:rsidP="00D9295A">
      <w:pPr>
        <w:pStyle w:val="ListParagraph"/>
        <w:ind w:left="284"/>
        <w:rPr>
          <w:rFonts w:ascii="Arial" w:hAnsi="Arial" w:cs="Arial"/>
        </w:rPr>
      </w:pPr>
    </w:p>
    <w:sectPr w:rsidR="00D9295A" w:rsidRPr="00D929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A370B" w14:textId="77777777" w:rsidR="00D9295A" w:rsidRDefault="00D9295A" w:rsidP="00D9295A">
      <w:pPr>
        <w:spacing w:after="0" w:line="240" w:lineRule="auto"/>
      </w:pPr>
      <w:r>
        <w:separator/>
      </w:r>
    </w:p>
  </w:endnote>
  <w:endnote w:type="continuationSeparator" w:id="0">
    <w:p w14:paraId="7E3A370C" w14:textId="77777777" w:rsidR="00D9295A" w:rsidRDefault="00D9295A" w:rsidP="00D92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B69F8" w14:textId="77777777" w:rsidR="009E4E33" w:rsidRDefault="009E4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4CA3" w14:textId="77777777" w:rsidR="009E4E33" w:rsidRDefault="009E4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75EF7" w14:textId="77777777" w:rsidR="009E4E33" w:rsidRDefault="009E4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A3709" w14:textId="77777777" w:rsidR="00D9295A" w:rsidRDefault="00D9295A" w:rsidP="00D9295A">
      <w:pPr>
        <w:spacing w:after="0" w:line="240" w:lineRule="auto"/>
      </w:pPr>
      <w:r>
        <w:separator/>
      </w:r>
    </w:p>
  </w:footnote>
  <w:footnote w:type="continuationSeparator" w:id="0">
    <w:p w14:paraId="7E3A370A" w14:textId="77777777" w:rsidR="00D9295A" w:rsidRDefault="00D9295A" w:rsidP="00D92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D6501" w14:textId="77777777" w:rsidR="009E4E33" w:rsidRDefault="009E4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D9295A" w:rsidRPr="00994B9E" w14:paraId="7E3A3710" w14:textId="77777777" w:rsidTr="00935BE0">
      <w:tc>
        <w:tcPr>
          <w:tcW w:w="5812" w:type="dxa"/>
          <w:vMerge w:val="restart"/>
          <w:hideMark/>
        </w:tcPr>
        <w:p w14:paraId="7E3A370D" w14:textId="77777777" w:rsidR="00D9295A" w:rsidRPr="00994B9E" w:rsidRDefault="00D9295A" w:rsidP="00D9295A">
          <w:pPr>
            <w:tabs>
              <w:tab w:val="center" w:pos="4513"/>
              <w:tab w:val="right" w:pos="9026"/>
            </w:tabs>
            <w:spacing w:after="0" w:line="276" w:lineRule="auto"/>
            <w:rPr>
              <w:rFonts w:ascii="Arial" w:eastAsia="Times New Roman" w:hAnsi="Arial" w:cs="Arial"/>
              <w:szCs w:val="20"/>
            </w:rPr>
          </w:pPr>
          <w:r w:rsidRPr="00994B9E">
            <w:rPr>
              <w:rFonts w:ascii="Arial" w:eastAsia="Times New Roman" w:hAnsi="Arial" w:cs="Arial"/>
              <w:b/>
              <w:noProof/>
              <w:sz w:val="24"/>
              <w:szCs w:val="24"/>
              <w:lang w:eastAsia="en-GB"/>
            </w:rPr>
            <w:drawing>
              <wp:inline distT="0" distB="0" distL="0" distR="0" wp14:anchorId="7E3A3716" wp14:editId="7E3A3717">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7E3A370E" w14:textId="77777777" w:rsidR="00D9295A" w:rsidRPr="00994B9E" w:rsidRDefault="00D9295A" w:rsidP="00D9295A">
          <w:pPr>
            <w:tabs>
              <w:tab w:val="center" w:pos="4513"/>
              <w:tab w:val="right" w:pos="9026"/>
            </w:tabs>
            <w:spacing w:after="0" w:line="276" w:lineRule="auto"/>
            <w:rPr>
              <w:rFonts w:ascii="Arial" w:eastAsia="Times New Roman" w:hAnsi="Arial" w:cs="Arial"/>
              <w:b/>
            </w:rPr>
          </w:pPr>
        </w:p>
        <w:p w14:paraId="7E3A370F" w14:textId="77777777" w:rsidR="00D9295A" w:rsidRPr="00994B9E" w:rsidRDefault="00D9295A" w:rsidP="00D9295A">
          <w:pPr>
            <w:tabs>
              <w:tab w:val="center" w:pos="4513"/>
              <w:tab w:val="right" w:pos="9026"/>
            </w:tabs>
            <w:spacing w:after="0" w:line="276" w:lineRule="auto"/>
            <w:rPr>
              <w:rFonts w:ascii="Arial" w:eastAsia="Times New Roman" w:hAnsi="Arial" w:cs="Arial"/>
              <w:b/>
            </w:rPr>
          </w:pPr>
          <w:r w:rsidRPr="00994B9E">
            <w:rPr>
              <w:rFonts w:ascii="Arial" w:eastAsia="Times New Roman" w:hAnsi="Arial" w:cs="Arial"/>
              <w:b/>
            </w:rPr>
            <w:t xml:space="preserve">Councillors’ Forum </w:t>
          </w:r>
        </w:p>
      </w:tc>
    </w:tr>
    <w:tr w:rsidR="00D9295A" w:rsidRPr="00994B9E" w14:paraId="7E3A3714" w14:textId="77777777" w:rsidTr="00935BE0">
      <w:trPr>
        <w:trHeight w:val="450"/>
      </w:trPr>
      <w:tc>
        <w:tcPr>
          <w:tcW w:w="5812" w:type="dxa"/>
          <w:vMerge/>
          <w:vAlign w:val="center"/>
          <w:hideMark/>
        </w:tcPr>
        <w:p w14:paraId="7E3A3711" w14:textId="77777777" w:rsidR="00D9295A" w:rsidRPr="00994B9E" w:rsidRDefault="00D9295A" w:rsidP="00D9295A">
          <w:pPr>
            <w:rPr>
              <w:rFonts w:ascii="Arial" w:hAnsi="Arial" w:cs="Arial"/>
            </w:rPr>
          </w:pPr>
        </w:p>
      </w:tc>
      <w:tc>
        <w:tcPr>
          <w:tcW w:w="3214" w:type="dxa"/>
          <w:hideMark/>
        </w:tcPr>
        <w:p w14:paraId="7E3A3712" w14:textId="77777777" w:rsidR="00D9295A" w:rsidRPr="00994B9E" w:rsidRDefault="00D9295A" w:rsidP="00D9295A">
          <w:pPr>
            <w:tabs>
              <w:tab w:val="center" w:pos="4513"/>
              <w:tab w:val="right" w:pos="9026"/>
            </w:tabs>
            <w:spacing w:before="60" w:after="0" w:line="276" w:lineRule="auto"/>
            <w:rPr>
              <w:rFonts w:ascii="Arial" w:eastAsia="Times New Roman" w:hAnsi="Arial" w:cs="Arial"/>
            </w:rPr>
          </w:pPr>
        </w:p>
        <w:p w14:paraId="7E3A3713" w14:textId="774DDB93" w:rsidR="00D9295A" w:rsidRPr="00994B9E" w:rsidRDefault="00D9295A" w:rsidP="00D9295A">
          <w:pPr>
            <w:tabs>
              <w:tab w:val="center" w:pos="4513"/>
              <w:tab w:val="right" w:pos="9026"/>
            </w:tabs>
            <w:spacing w:before="60" w:after="0" w:line="276" w:lineRule="auto"/>
            <w:rPr>
              <w:rFonts w:ascii="Arial" w:eastAsia="Times New Roman" w:hAnsi="Arial" w:cs="Arial"/>
            </w:rPr>
          </w:pPr>
          <w:r>
            <w:rPr>
              <w:rFonts w:ascii="Arial" w:eastAsia="Times New Roman" w:hAnsi="Arial" w:cs="Arial"/>
            </w:rPr>
            <w:t>18</w:t>
          </w:r>
          <w:r w:rsidR="009E4E33">
            <w:rPr>
              <w:rFonts w:ascii="Arial" w:eastAsia="Times New Roman" w:hAnsi="Arial" w:cs="Arial"/>
              <w:vertAlign w:val="superscript"/>
            </w:rPr>
            <w:t xml:space="preserve"> </w:t>
          </w:r>
          <w:bookmarkStart w:id="0" w:name="_GoBack"/>
          <w:bookmarkEnd w:id="0"/>
          <w:r>
            <w:rPr>
              <w:rFonts w:ascii="Arial" w:eastAsia="Times New Roman" w:hAnsi="Arial" w:cs="Arial"/>
            </w:rPr>
            <w:t>October</w:t>
          </w:r>
          <w:r w:rsidRPr="00994B9E">
            <w:rPr>
              <w:rFonts w:ascii="Arial" w:eastAsia="Times New Roman" w:hAnsi="Arial" w:cs="Arial"/>
            </w:rPr>
            <w:t xml:space="preserve"> 2018</w:t>
          </w:r>
        </w:p>
      </w:tc>
    </w:tr>
  </w:tbl>
  <w:p w14:paraId="7E3A3715" w14:textId="77777777" w:rsidR="00D9295A" w:rsidRDefault="00D92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40ABE" w14:textId="77777777" w:rsidR="009E4E33" w:rsidRDefault="009E4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F7A02"/>
    <w:multiLevelType w:val="hybridMultilevel"/>
    <w:tmpl w:val="BDB8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23514"/>
    <w:multiLevelType w:val="hybridMultilevel"/>
    <w:tmpl w:val="3FF27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D40D44"/>
    <w:multiLevelType w:val="hybridMultilevel"/>
    <w:tmpl w:val="D612EF46"/>
    <w:lvl w:ilvl="0" w:tplc="062AB1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5A"/>
    <w:rsid w:val="00603E49"/>
    <w:rsid w:val="006232EF"/>
    <w:rsid w:val="009E4E33"/>
    <w:rsid w:val="00D9295A"/>
    <w:rsid w:val="00FB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36E2"/>
  <w15:chartTrackingRefBased/>
  <w15:docId w15:val="{5244B4FB-5BBF-44FD-8A10-5A86F56E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95A"/>
  </w:style>
  <w:style w:type="paragraph" w:styleId="Footer">
    <w:name w:val="footer"/>
    <w:basedOn w:val="Normal"/>
    <w:link w:val="FooterChar"/>
    <w:uiPriority w:val="99"/>
    <w:unhideWhenUsed/>
    <w:rsid w:val="00D92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95A"/>
  </w:style>
  <w:style w:type="paragraph" w:customStyle="1" w:styleId="LGAItemNoHeading">
    <w:name w:val="LGA Item No Heading"/>
    <w:basedOn w:val="Normal"/>
    <w:uiPriority w:val="99"/>
    <w:rsid w:val="00D9295A"/>
    <w:pPr>
      <w:spacing w:before="600" w:after="240" w:line="280" w:lineRule="exact"/>
    </w:pPr>
    <w:rPr>
      <w:rFonts w:ascii="Frutiger 55 Roman" w:hAnsi="Frutiger 55 Roman"/>
      <w:b/>
      <w:sz w:val="32"/>
    </w:rPr>
  </w:style>
  <w:style w:type="paragraph" w:styleId="ListParagraph">
    <w:name w:val="List Paragraph"/>
    <w:basedOn w:val="Normal"/>
    <w:uiPriority w:val="34"/>
    <w:qFormat/>
    <w:rsid w:val="00D9295A"/>
    <w:pPr>
      <w:ind w:left="720"/>
      <w:contextualSpacing/>
    </w:pPr>
  </w:style>
  <w:style w:type="character" w:styleId="Hyperlink">
    <w:name w:val="Hyperlink"/>
    <w:basedOn w:val="DefaultParagraphFont"/>
    <w:uiPriority w:val="99"/>
    <w:unhideWhenUsed/>
    <w:rsid w:val="00D92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becca.Cox@local.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14C5B8F4</Template>
  <TotalTime>21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3</cp:revision>
  <dcterms:created xsi:type="dcterms:W3CDTF">2018-10-12T14:42:00Z</dcterms:created>
  <dcterms:modified xsi:type="dcterms:W3CDTF">2018-10-12T15:38:00Z</dcterms:modified>
</cp:coreProperties>
</file>